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EA" w:rsidRPr="000D2A5C" w:rsidRDefault="00DE60EA" w:rsidP="000D2A5C">
      <w:pPr>
        <w:pStyle w:val="Title"/>
        <w:spacing w:before="120"/>
        <w:jc w:val="center"/>
        <w:rPr>
          <w:rFonts w:ascii="Times New Roman" w:hAnsi="Times New Roman"/>
          <w:b/>
          <w:caps/>
          <w:sz w:val="24"/>
          <w:szCs w:val="24"/>
          <w:lang w:eastAsia="ar-SA"/>
        </w:rPr>
      </w:pPr>
      <w:r w:rsidRPr="000D2A5C">
        <w:rPr>
          <w:rFonts w:ascii="Times New Roman" w:hAnsi="Times New Roman"/>
          <w:b/>
          <w:caps/>
          <w:sz w:val="24"/>
          <w:szCs w:val="24"/>
          <w:lang w:eastAsia="ar-SA"/>
        </w:rPr>
        <w:t>Комунальне некомерційне підприємство</w:t>
      </w:r>
    </w:p>
    <w:p w:rsidR="00DE60EA" w:rsidRPr="000D2A5C" w:rsidRDefault="00DE60EA" w:rsidP="000D2A5C">
      <w:pPr>
        <w:suppressAutoHyphens/>
        <w:spacing w:after="0" w:line="360" w:lineRule="auto"/>
        <w:jc w:val="center"/>
        <w:rPr>
          <w:rFonts w:ascii="Times New Roman" w:hAnsi="Times New Roman"/>
          <w:b/>
          <w:sz w:val="24"/>
          <w:szCs w:val="24"/>
          <w:lang w:eastAsia="ar-SA"/>
        </w:rPr>
      </w:pPr>
      <w:r w:rsidRPr="000D2A5C">
        <w:rPr>
          <w:rFonts w:ascii="Times New Roman" w:hAnsi="Times New Roman"/>
          <w:b/>
          <w:caps/>
          <w:sz w:val="24"/>
          <w:szCs w:val="24"/>
          <w:lang w:eastAsia="ar-SA"/>
        </w:rPr>
        <w:t>«Міська поліклініка №11» Харківської міської ради</w:t>
      </w:r>
    </w:p>
    <w:p w:rsidR="00DE60EA" w:rsidRPr="00EE5218" w:rsidRDefault="00DE60EA" w:rsidP="00CB6E6B">
      <w:pPr>
        <w:spacing w:line="240" w:lineRule="auto"/>
        <w:rPr>
          <w:rFonts w:ascii="Times New Roman" w:hAnsi="Times New Roman"/>
          <w:u w:val="single"/>
          <w:lang w:eastAsia="uk-UA"/>
        </w:rPr>
      </w:pPr>
      <w:r w:rsidRPr="00F80104">
        <w:rPr>
          <w:rFonts w:ascii="Times New Roman" w:hAnsi="Times New Roman"/>
          <w:color w:val="242424"/>
          <w:lang w:eastAsia="uk-UA"/>
        </w:rPr>
        <w:br/>
      </w:r>
      <w:r w:rsidRPr="00F80104">
        <w:rPr>
          <w:rFonts w:ascii="Times New Roman" w:hAnsi="Times New Roman"/>
          <w:b/>
          <w:bCs/>
          <w:color w:val="242424"/>
          <w:lang w:eastAsia="uk-UA"/>
        </w:rPr>
        <w:t>ОБҐРУНТУВАННЯ</w:t>
      </w:r>
      <w:r w:rsidRPr="00F80104">
        <w:rPr>
          <w:rFonts w:ascii="Times New Roman" w:hAnsi="Times New Roman"/>
          <w:color w:val="242424"/>
          <w:lang w:eastAsia="uk-UA"/>
        </w:rPr>
        <w:br/>
        <w:t>технічних та якісних характеристик </w:t>
      </w:r>
      <w:r w:rsidRPr="00F80104">
        <w:rPr>
          <w:rFonts w:ascii="Times New Roman" w:hAnsi="Times New Roman"/>
          <w:b/>
          <w:bCs/>
          <w:color w:val="242424"/>
          <w:lang w:eastAsia="uk-UA"/>
        </w:rPr>
        <w:t>закупівлі електричної енергії, </w:t>
      </w:r>
      <w:r w:rsidRPr="00F80104">
        <w:rPr>
          <w:rFonts w:ascii="Times New Roman" w:hAnsi="Times New Roman"/>
          <w:color w:val="242424"/>
          <w:lang w:eastAsia="uk-UA"/>
        </w:rPr>
        <w:t>розміру бюджетного призначення, очікуваної вартості предмета закупівлі</w:t>
      </w:r>
      <w:r w:rsidRPr="00F80104">
        <w:rPr>
          <w:rFonts w:ascii="Times New Roman" w:hAnsi="Times New Roman"/>
          <w:color w:val="242424"/>
          <w:lang w:eastAsia="uk-UA"/>
        </w:rPr>
        <w:br/>
      </w:r>
      <w:r w:rsidRPr="00F80104">
        <w:rPr>
          <w:rFonts w:ascii="Times New Roman" w:hAnsi="Times New Roman"/>
          <w:i/>
          <w:iCs/>
          <w:color w:val="242424"/>
          <w:lang w:eastAsia="uk-UA"/>
        </w:rPr>
        <w:t>(оприлюднюється на виконання постанови КМУ № 710 від 11.10.2016 «Про ефективне використання державних коштів» (зі змінами))</w:t>
      </w:r>
      <w:r w:rsidRPr="00F80104">
        <w:rPr>
          <w:rFonts w:ascii="Times New Roman" w:hAnsi="Times New Roman"/>
          <w:color w:val="242424"/>
          <w:lang w:eastAsia="uk-UA"/>
        </w:rPr>
        <w:br/>
      </w:r>
      <w:r w:rsidRPr="00CB6E6B">
        <w:rPr>
          <w:rFonts w:ascii="Times New Roman" w:hAnsi="Times New Roman"/>
          <w:b/>
          <w:bCs/>
          <w:color w:val="2424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EE5218">
        <w:rPr>
          <w:rFonts w:ascii="Times New Roman" w:hAnsi="Times New Roman"/>
          <w:u w:val="single"/>
          <w:lang w:eastAsia="uk-UA"/>
        </w:rPr>
        <w:t xml:space="preserve">Комунальне  некомерційне підприємство  «Міська  поліклініка  № 11»  Харківської  міської  ради ; </w:t>
      </w:r>
      <w:r w:rsidRPr="00EE5218">
        <w:rPr>
          <w:rFonts w:ascii="Times New Roman" w:hAnsi="Times New Roman"/>
          <w:u w:val="single"/>
        </w:rPr>
        <w:t>61129, Україна, Харківська обл., м. Харк</w:t>
      </w:r>
      <w:r>
        <w:rPr>
          <w:rFonts w:ascii="Times New Roman" w:hAnsi="Times New Roman"/>
          <w:u w:val="single"/>
        </w:rPr>
        <w:t>ів, пр</w:t>
      </w:r>
      <w:r w:rsidRPr="00EE5218">
        <w:rPr>
          <w:rFonts w:ascii="Times New Roman" w:hAnsi="Times New Roman"/>
          <w:u w:val="single"/>
        </w:rPr>
        <w:t xml:space="preserve">. Тракторобудівників, </w:t>
      </w:r>
      <w:r>
        <w:rPr>
          <w:rFonts w:ascii="Times New Roman" w:hAnsi="Times New Roman"/>
          <w:u w:val="single"/>
        </w:rPr>
        <w:t>буд.</w:t>
      </w:r>
      <w:r w:rsidRPr="00EE5218">
        <w:rPr>
          <w:rFonts w:ascii="Times New Roman" w:hAnsi="Times New Roman"/>
          <w:u w:val="single"/>
        </w:rPr>
        <w:t>105А;</w:t>
      </w:r>
      <w:r w:rsidRPr="00EE5218">
        <w:rPr>
          <w:rFonts w:ascii="Times New Roman" w:hAnsi="Times New Roman"/>
          <w:u w:val="single"/>
          <w:lang w:eastAsia="uk-UA"/>
        </w:rPr>
        <w:t xml:space="preserve"> ідентифікаційний код: 03293758;</w:t>
      </w:r>
      <w:r w:rsidRPr="00EE5218">
        <w:rPr>
          <w:u w:val="single"/>
        </w:rPr>
        <w:t xml:space="preserve"> </w:t>
      </w:r>
      <w:r w:rsidRPr="00EE5218">
        <w:rPr>
          <w:rFonts w:ascii="Times New Roman" w:hAnsi="Times New Roman"/>
          <w:u w:val="single"/>
        </w:rPr>
        <w:t>юридична  особа, яка  забезпечує  потреби  держави  або  територіальної  громади</w:t>
      </w:r>
    </w:p>
    <w:p w:rsidR="00DE60EA" w:rsidRDefault="00DE60EA" w:rsidP="000D2A5C">
      <w:pPr>
        <w:spacing w:line="240" w:lineRule="auto"/>
        <w:rPr>
          <w:rFonts w:ascii="Times New Roman" w:hAnsi="Times New Roman"/>
          <w:u w:val="single"/>
        </w:rPr>
      </w:pPr>
      <w:r w:rsidRPr="00F80104">
        <w:rPr>
          <w:rFonts w:ascii="Times New Roman" w:hAnsi="Times New Roman"/>
          <w:b/>
          <w:bCs/>
          <w:color w:val="242424"/>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80104">
        <w:rPr>
          <w:rFonts w:ascii="Times New Roman" w:hAnsi="Times New Roman"/>
          <w:color w:val="242424"/>
          <w:lang w:eastAsia="uk-UA"/>
        </w:rPr>
        <w:t> </w:t>
      </w:r>
      <w:r w:rsidRPr="000D2A5C">
        <w:rPr>
          <w:rFonts w:ascii="Times New Roman" w:hAnsi="Times New Roman"/>
          <w:u w:val="single"/>
        </w:rPr>
        <w:t xml:space="preserve">Електрична енергія, код ДК 021:2015: </w:t>
      </w:r>
      <w:r w:rsidRPr="000D2A5C">
        <w:rPr>
          <w:rFonts w:ascii="Times New Roman" w:hAnsi="Times New Roman"/>
          <w:b/>
          <w:bCs/>
          <w:u w:val="single"/>
        </w:rPr>
        <w:t>09310000-5</w:t>
      </w:r>
      <w:r w:rsidRPr="000D2A5C">
        <w:rPr>
          <w:rFonts w:ascii="Times New Roman" w:hAnsi="Times New Roman"/>
          <w:u w:val="single"/>
        </w:rPr>
        <w:t xml:space="preserve"> – Електрична енергія </w:t>
      </w:r>
    </w:p>
    <w:p w:rsidR="00DE60EA" w:rsidRPr="00261876" w:rsidRDefault="00DE60EA" w:rsidP="00EE38EE">
      <w:pPr>
        <w:pStyle w:val="rvps2"/>
        <w:shd w:val="clear" w:color="auto" w:fill="FFFFFF"/>
        <w:spacing w:before="0" w:beforeAutospacing="0" w:after="0" w:afterAutospacing="0"/>
        <w:jc w:val="both"/>
        <w:rPr>
          <w:sz w:val="22"/>
          <w:szCs w:val="22"/>
          <w:shd w:val="clear" w:color="auto" w:fill="FFFFFF"/>
          <w:lang w:val="uk-UA"/>
        </w:rPr>
      </w:pPr>
      <w:r w:rsidRPr="00261876">
        <w:rPr>
          <w:b/>
          <w:bCs/>
          <w:color w:val="242424"/>
          <w:sz w:val="22"/>
          <w:szCs w:val="22"/>
          <w:lang w:val="uk-UA" w:eastAsia="uk-UA"/>
        </w:rPr>
        <w:t>Вид та ідентифікатор процедури закупівлі:</w:t>
      </w:r>
      <w:r w:rsidRPr="00261876">
        <w:rPr>
          <w:color w:val="242424"/>
          <w:sz w:val="22"/>
          <w:szCs w:val="22"/>
          <w:lang w:eastAsia="uk-UA"/>
        </w:rPr>
        <w:t> </w:t>
      </w:r>
      <w:r w:rsidRPr="00261876">
        <w:rPr>
          <w:color w:val="242424"/>
          <w:sz w:val="22"/>
          <w:szCs w:val="22"/>
          <w:u w:val="single"/>
          <w:lang w:val="uk-UA" w:eastAsia="uk-UA"/>
        </w:rPr>
        <w:t xml:space="preserve">відкриті торги, </w:t>
      </w:r>
      <w:r w:rsidRPr="00AE6253">
        <w:rPr>
          <w:sz w:val="22"/>
          <w:szCs w:val="22"/>
          <w:u w:val="single"/>
          <w:shd w:val="clear" w:color="auto" w:fill="F0F5F2"/>
        </w:rPr>
        <w:t>UA</w:t>
      </w:r>
      <w:r w:rsidRPr="00AE6253">
        <w:rPr>
          <w:sz w:val="22"/>
          <w:szCs w:val="22"/>
          <w:u w:val="single"/>
          <w:shd w:val="clear" w:color="auto" w:fill="F0F5F2"/>
          <w:lang w:val="uk-UA"/>
        </w:rPr>
        <w:t>-2021-11-</w:t>
      </w:r>
      <w:r>
        <w:rPr>
          <w:sz w:val="22"/>
          <w:szCs w:val="22"/>
          <w:u w:val="single"/>
          <w:shd w:val="clear" w:color="auto" w:fill="F0F5F2"/>
          <w:lang w:val="uk-UA"/>
        </w:rPr>
        <w:t>22</w:t>
      </w:r>
      <w:r w:rsidRPr="00AE6253">
        <w:rPr>
          <w:sz w:val="22"/>
          <w:szCs w:val="22"/>
          <w:u w:val="single"/>
          <w:shd w:val="clear" w:color="auto" w:fill="F0F5F2"/>
          <w:lang w:val="uk-UA"/>
        </w:rPr>
        <w:t>-00</w:t>
      </w:r>
      <w:r>
        <w:rPr>
          <w:sz w:val="22"/>
          <w:szCs w:val="22"/>
          <w:u w:val="single"/>
          <w:shd w:val="clear" w:color="auto" w:fill="F0F5F2"/>
          <w:lang w:val="uk-UA"/>
        </w:rPr>
        <w:t>3517</w:t>
      </w:r>
      <w:r w:rsidRPr="00AE6253">
        <w:rPr>
          <w:sz w:val="22"/>
          <w:szCs w:val="22"/>
          <w:u w:val="single"/>
          <w:shd w:val="clear" w:color="auto" w:fill="F0F5F2"/>
          <w:lang w:val="uk-UA"/>
        </w:rPr>
        <w:t>-</w:t>
      </w:r>
      <w:r>
        <w:rPr>
          <w:sz w:val="22"/>
          <w:szCs w:val="22"/>
          <w:u w:val="single"/>
          <w:shd w:val="clear" w:color="auto" w:fill="F0F5F2"/>
          <w:lang w:val="en-US"/>
        </w:rPr>
        <w:t>b</w:t>
      </w:r>
      <w:r w:rsidRPr="00261876">
        <w:rPr>
          <w:color w:val="242424"/>
          <w:sz w:val="22"/>
          <w:szCs w:val="22"/>
          <w:u w:val="single"/>
          <w:lang w:val="uk-UA" w:eastAsia="uk-UA"/>
        </w:rPr>
        <w:t xml:space="preserve"> </w:t>
      </w:r>
      <w:r w:rsidRPr="00261876">
        <w:rPr>
          <w:color w:val="242424"/>
          <w:sz w:val="22"/>
          <w:szCs w:val="22"/>
          <w:lang w:val="uk-UA" w:eastAsia="uk-UA"/>
        </w:rPr>
        <w:t xml:space="preserve"> </w:t>
      </w:r>
      <w:r w:rsidRPr="00261876">
        <w:rPr>
          <w:color w:val="242424"/>
          <w:sz w:val="22"/>
          <w:szCs w:val="22"/>
          <w:lang w:val="uk-UA" w:eastAsia="uk-UA"/>
        </w:rPr>
        <w:br/>
      </w:r>
      <w:r w:rsidRPr="00261876">
        <w:rPr>
          <w:b/>
          <w:bCs/>
          <w:sz w:val="22"/>
          <w:szCs w:val="22"/>
          <w:shd w:val="clear" w:color="auto" w:fill="FFFFFF"/>
          <w:lang w:val="uk-UA"/>
        </w:rPr>
        <w:t>Вид закупівлі:</w:t>
      </w:r>
      <w:r w:rsidRPr="00261876">
        <w:rPr>
          <w:sz w:val="22"/>
          <w:szCs w:val="22"/>
          <w:shd w:val="clear" w:color="auto" w:fill="FFFFFF"/>
          <w:lang w:val="uk-UA"/>
        </w:rPr>
        <w:t xml:space="preserve"> процедура закупівлі - для замовників, визначених у</w:t>
      </w:r>
      <w:r w:rsidRPr="00261876">
        <w:rPr>
          <w:sz w:val="22"/>
          <w:szCs w:val="22"/>
          <w:shd w:val="clear" w:color="auto" w:fill="FFFFFF"/>
        </w:rPr>
        <w:t> </w:t>
      </w:r>
      <w:hyperlink r:id="rId5" w:anchor="n795" w:history="1">
        <w:r w:rsidRPr="004D3F7A">
          <w:rPr>
            <w:rStyle w:val="Hyperlink"/>
            <w:color w:val="auto"/>
            <w:sz w:val="22"/>
            <w:szCs w:val="22"/>
            <w:shd w:val="clear" w:color="auto" w:fill="FFFFFF"/>
            <w:lang w:val="uk-UA"/>
          </w:rPr>
          <w:t>пунктах 1-3</w:t>
        </w:r>
      </w:hyperlink>
      <w:r w:rsidRPr="004D3F7A">
        <w:rPr>
          <w:sz w:val="22"/>
          <w:szCs w:val="22"/>
          <w:shd w:val="clear" w:color="auto" w:fill="FFFFFF"/>
        </w:rPr>
        <w:t> </w:t>
      </w:r>
      <w:r w:rsidRPr="004D3F7A">
        <w:rPr>
          <w:sz w:val="22"/>
          <w:szCs w:val="22"/>
          <w:shd w:val="clear" w:color="auto" w:fill="FFFFFF"/>
          <w:lang w:val="uk-UA"/>
        </w:rPr>
        <w:t>час</w:t>
      </w:r>
      <w:r w:rsidRPr="00261876">
        <w:rPr>
          <w:sz w:val="22"/>
          <w:szCs w:val="22"/>
          <w:shd w:val="clear" w:color="auto" w:fill="FFFFFF"/>
          <w:lang w:val="uk-UA"/>
        </w:rPr>
        <w:t xml:space="preserve">тини першої статті 2 </w:t>
      </w:r>
      <w:r w:rsidRPr="00261876">
        <w:rPr>
          <w:sz w:val="22"/>
          <w:szCs w:val="22"/>
          <w:lang w:val="uk-UA"/>
        </w:rPr>
        <w:t>Закону України «Про публічні закупівлі» від 25.12.2015 №922-VIII (із змінами)</w:t>
      </w:r>
      <w:r w:rsidRPr="00261876">
        <w:rPr>
          <w:sz w:val="22"/>
          <w:szCs w:val="22"/>
          <w:shd w:val="clear" w:color="auto" w:fill="FFFFFF"/>
          <w:lang w:val="uk-UA"/>
        </w:rPr>
        <w:t>, якщо вартість предмета закупівлі товару (товарів), послуги (послуг) дорівнює або перевищує 200 тисяч гривень, а робіт - 1,5 мільйона гривень (відкриті торги).</w:t>
      </w:r>
    </w:p>
    <w:p w:rsidR="00DE60EA" w:rsidRPr="00AA44B1" w:rsidRDefault="00DE60EA" w:rsidP="00EE38EE">
      <w:pPr>
        <w:pStyle w:val="1"/>
        <w:tabs>
          <w:tab w:val="left" w:pos="0"/>
        </w:tabs>
        <w:ind w:left="0" w:right="-79" w:firstLine="0"/>
        <w:rPr>
          <w:bCs/>
          <w:sz w:val="22"/>
          <w:szCs w:val="22"/>
        </w:rPr>
      </w:pPr>
      <w:r w:rsidRPr="006E7E47">
        <w:rPr>
          <w:b/>
          <w:bCs/>
          <w:color w:val="242424"/>
          <w:sz w:val="22"/>
          <w:szCs w:val="22"/>
          <w:lang w:eastAsia="uk-UA"/>
        </w:rPr>
        <w:t>Очікувана вартість та обґрунтування очікуваної вартості предмета закупівлі:</w:t>
      </w:r>
      <w:r w:rsidRPr="006E7E47">
        <w:rPr>
          <w:color w:val="242424"/>
          <w:sz w:val="22"/>
          <w:szCs w:val="22"/>
          <w:lang w:eastAsia="uk-UA"/>
        </w:rPr>
        <w:t> </w:t>
      </w:r>
      <w:r w:rsidRPr="006E7E47">
        <w:rPr>
          <w:color w:val="242424"/>
          <w:sz w:val="22"/>
          <w:szCs w:val="22"/>
          <w:u w:val="single"/>
          <w:lang w:val="uk-UA" w:eastAsia="uk-UA"/>
        </w:rPr>
        <w:t xml:space="preserve"> 1540 000 </w:t>
      </w:r>
      <w:r w:rsidRPr="006E7E47">
        <w:rPr>
          <w:color w:val="242424"/>
          <w:sz w:val="22"/>
          <w:szCs w:val="22"/>
          <w:lang w:eastAsia="uk-UA"/>
        </w:rPr>
        <w:t xml:space="preserve"> грн. Визначення очікуваної вартості предмета закупівлі обумовлено аналізом </w:t>
      </w:r>
      <w:r w:rsidRPr="006E7E47">
        <w:rPr>
          <w:color w:val="242424"/>
          <w:sz w:val="22"/>
          <w:szCs w:val="22"/>
          <w:lang w:val="uk-UA" w:eastAsia="uk-UA"/>
        </w:rPr>
        <w:t xml:space="preserve">індексів РДН та середньозважених цін по </w:t>
      </w:r>
      <w:r w:rsidRPr="006E7E47">
        <w:rPr>
          <w:sz w:val="22"/>
          <w:szCs w:val="22"/>
        </w:rPr>
        <w:t>Об'єднан</w:t>
      </w:r>
      <w:r w:rsidRPr="006E7E47">
        <w:rPr>
          <w:sz w:val="22"/>
          <w:szCs w:val="22"/>
          <w:lang w:val="uk-UA"/>
        </w:rPr>
        <w:t>ій</w:t>
      </w:r>
      <w:r w:rsidRPr="006E7E47">
        <w:rPr>
          <w:sz w:val="22"/>
          <w:szCs w:val="22"/>
        </w:rPr>
        <w:t xml:space="preserve"> енергетичн</w:t>
      </w:r>
      <w:r w:rsidRPr="006E7E47">
        <w:rPr>
          <w:sz w:val="22"/>
          <w:szCs w:val="22"/>
          <w:lang w:val="uk-UA"/>
        </w:rPr>
        <w:t>ій</w:t>
      </w:r>
      <w:r w:rsidRPr="006E7E47">
        <w:rPr>
          <w:sz w:val="22"/>
          <w:szCs w:val="22"/>
        </w:rPr>
        <w:t xml:space="preserve"> систем</w:t>
      </w:r>
      <w:r w:rsidRPr="006E7E47">
        <w:rPr>
          <w:sz w:val="22"/>
          <w:szCs w:val="22"/>
          <w:lang w:val="uk-UA"/>
        </w:rPr>
        <w:t>і</w:t>
      </w:r>
      <w:r w:rsidRPr="006E7E47">
        <w:rPr>
          <w:sz w:val="22"/>
          <w:szCs w:val="22"/>
        </w:rPr>
        <w:t xml:space="preserve"> України (ОЕС України)</w:t>
      </w:r>
      <w:r w:rsidRPr="006E7E47">
        <w:rPr>
          <w:rFonts w:ascii="Arial" w:hAnsi="Arial" w:cs="Arial"/>
          <w:color w:val="4D5156"/>
          <w:sz w:val="21"/>
          <w:szCs w:val="21"/>
          <w:shd w:val="clear" w:color="auto" w:fill="FFFFFF"/>
        </w:rPr>
        <w:t> </w:t>
      </w:r>
      <w:r w:rsidRPr="006E7E47">
        <w:rPr>
          <w:color w:val="242424"/>
          <w:sz w:val="22"/>
          <w:szCs w:val="22"/>
          <w:lang w:val="uk-UA" w:eastAsia="uk-UA"/>
        </w:rPr>
        <w:t xml:space="preserve"> за період з серпня 2021 року по 16 листопада 2021 року</w:t>
      </w:r>
      <w:bookmarkStart w:id="0" w:name="_GoBack"/>
      <w:bookmarkEnd w:id="0"/>
      <w:r w:rsidRPr="006E7E47">
        <w:rPr>
          <w:color w:val="242424"/>
          <w:sz w:val="22"/>
          <w:szCs w:val="22"/>
          <w:lang w:eastAsia="uk-UA"/>
        </w:rPr>
        <w:t>. </w:t>
      </w:r>
      <w:r w:rsidRPr="006E7E47">
        <w:rPr>
          <w:color w:val="242424"/>
          <w:sz w:val="22"/>
          <w:szCs w:val="22"/>
          <w:lang w:val="uk-UA" w:eastAsia="uk-UA"/>
        </w:rPr>
        <w:t>В результаті цього аналізу було виявлено стрімке зростання ціни на ринку РДН  у листопаді 2021 року порівняно з серпнем 2021 року у 1,61 рази.</w:t>
      </w:r>
      <w:r w:rsidRPr="006E7E47">
        <w:rPr>
          <w:color w:val="242424"/>
          <w:sz w:val="22"/>
          <w:szCs w:val="22"/>
          <w:lang w:eastAsia="uk-UA"/>
        </w:rPr>
        <w:t xml:space="preserve"> </w:t>
      </w:r>
      <w:r w:rsidRPr="006E7E47">
        <w:rPr>
          <w:color w:val="242424"/>
          <w:sz w:val="22"/>
          <w:szCs w:val="22"/>
          <w:lang w:val="uk-UA" w:eastAsia="uk-UA"/>
        </w:rPr>
        <w:t xml:space="preserve">Тенденція  зростання  середньозважених цін по </w:t>
      </w:r>
      <w:r w:rsidRPr="006E7E47">
        <w:rPr>
          <w:sz w:val="22"/>
          <w:szCs w:val="22"/>
        </w:rPr>
        <w:t>ОЕС України</w:t>
      </w:r>
      <w:r w:rsidRPr="006E7E47">
        <w:rPr>
          <w:color w:val="242424"/>
          <w:sz w:val="22"/>
          <w:szCs w:val="22"/>
          <w:lang w:eastAsia="uk-UA"/>
        </w:rPr>
        <w:t xml:space="preserve"> </w:t>
      </w:r>
      <w:r w:rsidRPr="006E7E47">
        <w:rPr>
          <w:color w:val="242424"/>
          <w:sz w:val="22"/>
          <w:szCs w:val="22"/>
          <w:lang w:val="uk-UA" w:eastAsia="uk-UA"/>
        </w:rPr>
        <w:t>на ринку РДН зберігається та наближається до верхнього граничного цінового обмеження, яке встановлено Оператором системи передачі у розмірі  4000 грн/МВт*год без ПДВ. На сайті ПрАТ «НЕК «УКРЕНЕРГО» опубліковано проект тарифу на послуги з передачі електричної енергії на 2022 рік, який розраховано  у розмірі 458,83 грн./ МВт*год без ПДВ.  Відсоток коливання ціни на ринку електричної енергії (ринок «на добу наперед», внутрішньодобовий ринок тощо) може дорівнювати до 9,99%. Маржинальний прибуток постачальника залежить від величини помісячного споживання електричної енергії Споживача, (якщо величина  помісячного споживання менше 50 000 кВТ*год у місяць, то відсоток маржинального прибутку у більшості  електропостачальників становить до 7%- 8%  від ціни на ринку РДН). З урахуванням вищеперерахованих складових ціни Замовником було здійснено розрахунок очікуваної вартості предмета закупівлі. Метод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при такому стрімкому зростанню середньозважених цін по</w:t>
      </w:r>
      <w:r w:rsidRPr="006E7E47">
        <w:rPr>
          <w:sz w:val="22"/>
          <w:szCs w:val="22"/>
          <w:lang w:val="uk-UA"/>
        </w:rPr>
        <w:t xml:space="preserve"> ОЕС</w:t>
      </w:r>
      <w:r w:rsidRPr="006E7E47">
        <w:rPr>
          <w:sz w:val="22"/>
          <w:szCs w:val="22"/>
        </w:rPr>
        <w:t> </w:t>
      </w:r>
      <w:r w:rsidRPr="006E7E47">
        <w:rPr>
          <w:sz w:val="22"/>
          <w:szCs w:val="22"/>
          <w:lang w:val="uk-UA"/>
        </w:rPr>
        <w:t>України  не раціонально застосувати, що призведе до заниження очікуваної вартості предмета закупівлі та зриву закупівлі</w:t>
      </w:r>
      <w:r w:rsidRPr="006E7E47">
        <w:rPr>
          <w:color w:val="242424"/>
          <w:sz w:val="22"/>
          <w:szCs w:val="22"/>
          <w:lang w:val="uk-UA" w:eastAsia="uk-UA"/>
        </w:rPr>
        <w:t>. На 2022 рік на сайтах електропостачальників ще немає розрахунку планових цін  для споживачів, але зокрема на сайті одного з найбільших постачальників електричної енергії  Споживачам ТОВ «Укр Газ Ресурс»  дається аналіз  ціни електричної енергії та надається планова ціна на електричну енергію для споживачів на січень 2022 року у розмірі 5,80 грн./кВт (без ПДВ) (ціна включає тариф на послуги з передачі електричної енергії та не включає тариф на послуги з розподілу електричної енергії). Орієнтуватися на планову ціну на 2022 рік тільки одного постачальника при визначенні очікуваної вартості немає сенсу. Тому Замовником було розраховано очікувану вартість на підставі верхнього граничного цінового обмеження, проекту тарифу на послуги з передачі електричної енергії на 2022 рік, відсотка коливання ціни на ринку електричної енергії (ринок «на добу наперед», внутрішньодобовий ринок тощо), маржинального  прибутку  постачальника та на підставі визначених законодавством податків та зборів.</w:t>
      </w:r>
      <w:r>
        <w:rPr>
          <w:color w:val="242424"/>
          <w:sz w:val="22"/>
          <w:szCs w:val="22"/>
          <w:lang w:val="uk-UA" w:eastAsia="uk-UA"/>
        </w:rPr>
        <w:t xml:space="preserve"> За результатами розрахунків очікувана вартість за 1 кВт*год на 2022 рік становить 6,16 грн. з ПДВ.</w:t>
      </w:r>
      <w:r w:rsidRPr="006E7E47">
        <w:rPr>
          <w:color w:val="242424"/>
          <w:sz w:val="22"/>
          <w:szCs w:val="22"/>
          <w:lang w:val="uk-UA" w:eastAsia="uk-UA"/>
        </w:rPr>
        <w:br/>
      </w:r>
      <w:r w:rsidRPr="004F1D20">
        <w:rPr>
          <w:b/>
          <w:bCs/>
          <w:color w:val="242424"/>
          <w:sz w:val="22"/>
          <w:szCs w:val="22"/>
          <w:lang w:val="uk-UA" w:eastAsia="uk-UA"/>
        </w:rPr>
        <w:t>Розмір бюджетного призначення:</w:t>
      </w:r>
      <w:r w:rsidRPr="004F1D20">
        <w:rPr>
          <w:color w:val="242424"/>
          <w:sz w:val="22"/>
          <w:szCs w:val="22"/>
          <w:lang w:eastAsia="uk-UA"/>
        </w:rPr>
        <w:t> </w:t>
      </w:r>
      <w:r w:rsidRPr="004F1D20">
        <w:rPr>
          <w:color w:val="242424"/>
          <w:sz w:val="22"/>
          <w:szCs w:val="22"/>
          <w:lang w:val="uk-UA" w:eastAsia="uk-UA"/>
        </w:rPr>
        <w:t>на момент подання оголошення  ще не затверджено бюджетні призначення на оплату електроенергії на 2022 рік, бо не затверджено план використання бюджетних коштів на 2022 рік.</w:t>
      </w:r>
      <w:r w:rsidRPr="004F1D20">
        <w:rPr>
          <w:color w:val="242424"/>
          <w:sz w:val="22"/>
          <w:szCs w:val="22"/>
          <w:lang w:val="uk-UA" w:eastAsia="uk-UA"/>
        </w:rPr>
        <w:br/>
      </w:r>
      <w:r w:rsidRPr="00D531B0">
        <w:rPr>
          <w:b/>
          <w:bCs/>
          <w:sz w:val="22"/>
          <w:szCs w:val="22"/>
          <w:lang w:val="uk-UA" w:eastAsia="uk-UA"/>
        </w:rPr>
        <w:t>Нормативно-правове регулювання.</w:t>
      </w:r>
      <w:r w:rsidRPr="00AA44B1">
        <w:rPr>
          <w:sz w:val="22"/>
          <w:szCs w:val="22"/>
          <w:lang w:eastAsia="uk-UA"/>
        </w:rPr>
        <w:t> </w:t>
      </w:r>
      <w:r w:rsidRPr="00D531B0">
        <w:rPr>
          <w:sz w:val="22"/>
          <w:szCs w:val="22"/>
          <w:lang w:val="uk-UA" w:eastAsia="uk-UA"/>
        </w:rPr>
        <w:t xml:space="preserve">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w:t>
      </w:r>
      <w:bookmarkStart w:id="1" w:name="_Hlk86648352"/>
      <w:r w:rsidRPr="00D531B0">
        <w:rPr>
          <w:sz w:val="22"/>
          <w:szCs w:val="22"/>
          <w:lang w:val="uk-UA" w:eastAsia="uk-UA"/>
        </w:rPr>
        <w:t>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w:t>
      </w:r>
      <w:bookmarkEnd w:id="1"/>
      <w:r w:rsidRPr="00D531B0">
        <w:rPr>
          <w:sz w:val="22"/>
          <w:szCs w:val="22"/>
          <w:lang w:val="uk-UA" w:eastAsia="uk-UA"/>
        </w:rPr>
        <w:t>, Законом України «Про публічні закупівлі» від 25.12.2015 № 922-</w:t>
      </w:r>
      <w:r w:rsidRPr="00AA44B1">
        <w:rPr>
          <w:sz w:val="22"/>
          <w:szCs w:val="22"/>
          <w:lang w:eastAsia="uk-UA"/>
        </w:rPr>
        <w:t>VIII</w:t>
      </w:r>
      <w:r w:rsidRPr="00D531B0">
        <w:rPr>
          <w:sz w:val="22"/>
          <w:szCs w:val="22"/>
          <w:lang w:val="uk-UA" w:eastAsia="uk-UA"/>
        </w:rPr>
        <w:t xml:space="preserve">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w:t>
      </w:r>
      <w:bookmarkStart w:id="2" w:name="_Hlk86648092"/>
      <w:r w:rsidRPr="00D531B0">
        <w:rPr>
          <w:sz w:val="22"/>
          <w:szCs w:val="22"/>
          <w:lang w:val="uk-UA" w:eastAsia="uk-UA"/>
        </w:rPr>
        <w:t>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w:t>
      </w:r>
      <w:bookmarkEnd w:id="2"/>
      <w:r w:rsidRPr="00D531B0">
        <w:rPr>
          <w:sz w:val="22"/>
          <w:szCs w:val="22"/>
          <w:lang w:val="uk-UA" w:eastAsia="uk-UA"/>
        </w:rPr>
        <w:t>,</w:t>
      </w:r>
      <w:r w:rsidRPr="00D531B0">
        <w:rPr>
          <w:sz w:val="22"/>
          <w:szCs w:val="22"/>
          <w:lang w:val="uk-UA"/>
        </w:rPr>
        <w:t xml:space="preserve"> </w:t>
      </w:r>
      <w:r w:rsidRPr="00AA44B1">
        <w:rPr>
          <w:rStyle w:val="fontstyle01"/>
          <w:rFonts w:ascii="Times New Roman"/>
          <w:color w:val="auto"/>
          <w:sz w:val="22"/>
          <w:szCs w:val="22"/>
          <w:lang w:val="uk-UA"/>
        </w:rPr>
        <w:t>Кодексом системи передачі, затвердженим постановою Національної комісії, що здійснює державне регулювання у сферах енергетики та комунальних послуг від 14.03.2018 № 309 (із змінами)</w:t>
      </w:r>
      <w:r w:rsidRPr="00D531B0">
        <w:rPr>
          <w:rStyle w:val="fontstyle01"/>
          <w:rFonts w:ascii="Times New Roman"/>
          <w:color w:val="auto"/>
          <w:sz w:val="22"/>
          <w:szCs w:val="22"/>
          <w:lang w:val="uk-UA"/>
        </w:rPr>
        <w:t xml:space="preserve"> </w:t>
      </w:r>
      <w:r w:rsidRPr="00D531B0">
        <w:rPr>
          <w:sz w:val="22"/>
          <w:szCs w:val="22"/>
          <w:lang w:val="uk-UA" w:eastAsia="uk-UA"/>
        </w:rPr>
        <w:t xml:space="preserve"> та іншими нормативно-правовими актами, що стосуються предмета закупівлі.</w:t>
      </w:r>
      <w:r w:rsidRPr="00D531B0">
        <w:rPr>
          <w:sz w:val="22"/>
          <w:szCs w:val="22"/>
          <w:lang w:val="uk-UA" w:eastAsia="uk-UA"/>
        </w:rPr>
        <w:br/>
      </w:r>
      <w:r w:rsidRPr="0046770B">
        <w:rPr>
          <w:b/>
          <w:bCs/>
          <w:sz w:val="22"/>
          <w:szCs w:val="22"/>
          <w:lang w:val="uk-UA" w:eastAsia="uk-UA"/>
        </w:rPr>
        <w:t>Загальні положення.</w:t>
      </w:r>
      <w:r w:rsidRPr="00AA44B1">
        <w:rPr>
          <w:sz w:val="22"/>
          <w:szCs w:val="22"/>
          <w:lang w:eastAsia="uk-UA"/>
        </w:rPr>
        <w:t>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r w:rsidRPr="00AA44B1">
        <w:rPr>
          <w:sz w:val="22"/>
          <w:szCs w:val="22"/>
          <w:lang w:eastAsia="uk-UA"/>
        </w:rPr>
        <w:br/>
        <w:t>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6" w:history="1">
        <w:r w:rsidRPr="00AA44B1">
          <w:rPr>
            <w:b/>
            <w:bCs/>
            <w:sz w:val="22"/>
            <w:szCs w:val="22"/>
            <w:u w:val="single"/>
            <w:lang w:eastAsia="uk-UA"/>
          </w:rPr>
          <w:t>Електрична енергія</w:t>
        </w:r>
      </w:hyperlink>
      <w:r w:rsidRPr="00AA44B1">
        <w:rPr>
          <w:sz w:val="22"/>
          <w:szCs w:val="22"/>
          <w:lang w:eastAsia="uk-UA"/>
        </w:rPr>
        <w:t>  /  </w:t>
      </w:r>
      <w:hyperlink r:id="rId7" w:history="1">
        <w:r w:rsidRPr="00AA44B1">
          <w:rPr>
            <w:b/>
            <w:bCs/>
            <w:sz w:val="22"/>
            <w:szCs w:val="22"/>
            <w:u w:val="single"/>
            <w:lang w:eastAsia="uk-UA"/>
          </w:rPr>
          <w:t>Ліцензування</w:t>
        </w:r>
      </w:hyperlink>
      <w:r w:rsidRPr="00AA44B1">
        <w:rPr>
          <w:sz w:val="22"/>
          <w:szCs w:val="22"/>
          <w:lang w:eastAsia="uk-UA"/>
        </w:rPr>
        <w:t>  /  </w:t>
      </w:r>
      <w:hyperlink r:id="rId8" w:history="1">
        <w:r w:rsidRPr="00AA44B1">
          <w:rPr>
            <w:b/>
            <w:bCs/>
            <w:sz w:val="22"/>
            <w:szCs w:val="22"/>
            <w:u w:val="single"/>
            <w:lang w:eastAsia="uk-UA"/>
          </w:rPr>
          <w:t>Реєстри ліцензіатів</w:t>
        </w:r>
      </w:hyperlink>
      <w:r w:rsidRPr="00AA44B1">
        <w:rPr>
          <w:sz w:val="22"/>
          <w:szCs w:val="22"/>
          <w:lang w:eastAsia="uk-UA"/>
        </w:rPr>
        <w:t> (вид діяльності — постачання електричної енергії).</w:t>
      </w:r>
      <w:r w:rsidRPr="00AA44B1">
        <w:rPr>
          <w:sz w:val="22"/>
          <w:szCs w:val="22"/>
          <w:lang w:eastAsia="uk-UA"/>
        </w:rPr>
        <w:br/>
        <w:t xml:space="preserve">Електропостачальник повинен забезпечити поставку електричної енергії на об’єкт замовника </w:t>
      </w:r>
      <w:r w:rsidRPr="00AA44B1">
        <w:rPr>
          <w:sz w:val="22"/>
          <w:szCs w:val="22"/>
          <w:u w:val="single"/>
          <w:lang w:eastAsia="uk-UA"/>
        </w:rPr>
        <w:t>Комунальне  некомерційне підприємство  «Міська  поліклініка  № 11»  Харківської  міської  ради</w:t>
      </w:r>
      <w:r w:rsidRPr="00AA44B1">
        <w:rPr>
          <w:sz w:val="22"/>
          <w:szCs w:val="22"/>
          <w:lang w:eastAsia="uk-UA"/>
        </w:rPr>
        <w:t xml:space="preserve">  за точками</w:t>
      </w:r>
      <w:r w:rsidRPr="00AA44B1">
        <w:rPr>
          <w:bCs/>
          <w:sz w:val="22"/>
          <w:szCs w:val="22"/>
        </w:rPr>
        <w:t xml:space="preserve"> </w:t>
      </w:r>
      <w:r w:rsidRPr="00AA44B1">
        <w:rPr>
          <w:bCs/>
          <w:sz w:val="22"/>
          <w:szCs w:val="22"/>
          <w:lang w:val="uk-UA"/>
        </w:rPr>
        <w:t>комерційного обліку замовника (споживача)</w:t>
      </w:r>
      <w:r w:rsidRPr="00AA44B1">
        <w:rPr>
          <w:sz w:val="22"/>
          <w:szCs w:val="22"/>
          <w:lang w:eastAsia="uk-UA"/>
        </w:rPr>
        <w:t>, як</w:t>
      </w:r>
      <w:r>
        <w:rPr>
          <w:sz w:val="22"/>
          <w:szCs w:val="22"/>
          <w:lang w:val="uk-UA" w:eastAsia="uk-UA"/>
        </w:rPr>
        <w:t>ий</w:t>
      </w:r>
      <w:r w:rsidRPr="00AA44B1">
        <w:rPr>
          <w:sz w:val="22"/>
          <w:szCs w:val="22"/>
          <w:lang w:eastAsia="uk-UA"/>
        </w:rPr>
        <w:t xml:space="preserve"> знаход</w:t>
      </w:r>
      <w:r>
        <w:rPr>
          <w:sz w:val="22"/>
          <w:szCs w:val="22"/>
          <w:lang w:val="uk-UA" w:eastAsia="uk-UA"/>
        </w:rPr>
        <w:t>и</w:t>
      </w:r>
      <w:r w:rsidRPr="00AA44B1">
        <w:rPr>
          <w:sz w:val="22"/>
          <w:szCs w:val="22"/>
          <w:lang w:eastAsia="uk-UA"/>
        </w:rPr>
        <w:t xml:space="preserve">ться за адресою:  </w:t>
      </w:r>
      <w:r w:rsidRPr="00AA44B1">
        <w:rPr>
          <w:sz w:val="22"/>
          <w:szCs w:val="22"/>
          <w:u w:val="single"/>
        </w:rPr>
        <w:t>61129, Україна, Х</w:t>
      </w:r>
      <w:r>
        <w:rPr>
          <w:sz w:val="22"/>
          <w:szCs w:val="22"/>
          <w:u w:val="single"/>
        </w:rPr>
        <w:t>арківська обл., м. Харків, пр</w:t>
      </w:r>
      <w:r w:rsidRPr="00AA44B1">
        <w:rPr>
          <w:sz w:val="22"/>
          <w:szCs w:val="22"/>
          <w:u w:val="single"/>
        </w:rPr>
        <w:t>. Тракторобудівників,</w:t>
      </w:r>
      <w:r>
        <w:rPr>
          <w:sz w:val="22"/>
          <w:szCs w:val="22"/>
          <w:u w:val="single"/>
          <w:lang w:val="uk-UA"/>
        </w:rPr>
        <w:t xml:space="preserve"> буд.</w:t>
      </w:r>
      <w:r w:rsidRPr="00AA44B1">
        <w:rPr>
          <w:sz w:val="22"/>
          <w:szCs w:val="22"/>
          <w:u w:val="single"/>
        </w:rPr>
        <w:t xml:space="preserve"> 105А</w:t>
      </w:r>
      <w:r w:rsidRPr="00AA44B1">
        <w:rPr>
          <w:sz w:val="22"/>
          <w:szCs w:val="22"/>
          <w:lang w:eastAsia="uk-UA"/>
        </w:rPr>
        <w:t xml:space="preserve"> та підключен</w:t>
      </w:r>
      <w:r>
        <w:rPr>
          <w:sz w:val="22"/>
          <w:szCs w:val="22"/>
          <w:lang w:val="uk-UA" w:eastAsia="uk-UA"/>
        </w:rPr>
        <w:t>ий</w:t>
      </w:r>
      <w:r w:rsidRPr="00AA44B1">
        <w:rPr>
          <w:sz w:val="22"/>
          <w:szCs w:val="22"/>
          <w:lang w:eastAsia="uk-UA"/>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r w:rsidRPr="00AA44B1">
        <w:rPr>
          <w:sz w:val="22"/>
          <w:szCs w:val="22"/>
          <w:lang w:eastAsia="uk-UA"/>
        </w:rPr>
        <w:br/>
        <w:t> </w:t>
      </w:r>
      <w:r w:rsidRPr="00AA44B1">
        <w:rPr>
          <w:bCs/>
          <w:sz w:val="22"/>
          <w:szCs w:val="22"/>
        </w:rPr>
        <w:t>Перелік об’єктів та точок комерційного обліку замовника (споживача):</w:t>
      </w:r>
    </w:p>
    <w:p w:rsidR="00DE60EA" w:rsidRPr="00125FC3" w:rsidRDefault="00DE60EA" w:rsidP="000904AB">
      <w:pPr>
        <w:spacing w:after="0" w:line="240" w:lineRule="auto"/>
        <w:ind w:firstLine="709"/>
        <w:rPr>
          <w:rFonts w:ascii="Times New Roman" w:hAnsi="Times New Roman"/>
          <w:b/>
          <w:sz w:val="10"/>
          <w:szCs w:val="10"/>
          <w:lang w:eastAsia="ru-RU"/>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4"/>
        <w:gridCol w:w="2185"/>
        <w:gridCol w:w="4369"/>
        <w:gridCol w:w="3855"/>
      </w:tblGrid>
      <w:tr w:rsidR="00DE60EA" w:rsidRPr="001B5B70" w:rsidTr="00320942">
        <w:tc>
          <w:tcPr>
            <w:tcW w:w="283" w:type="pct"/>
            <w:vAlign w:val="center"/>
          </w:tcPr>
          <w:p w:rsidR="00DE60EA" w:rsidRPr="00125FC3" w:rsidRDefault="00DE60EA" w:rsidP="000904AB">
            <w:pPr>
              <w:spacing w:after="0" w:line="240" w:lineRule="auto"/>
              <w:rPr>
                <w:rFonts w:ascii="Times New Roman" w:hAnsi="Times New Roman"/>
                <w:lang w:eastAsia="ru-RU"/>
              </w:rPr>
            </w:pPr>
            <w:r w:rsidRPr="00125FC3">
              <w:rPr>
                <w:rFonts w:ascii="Times New Roman" w:hAnsi="Times New Roman"/>
                <w:lang w:eastAsia="ru-RU"/>
              </w:rPr>
              <w:t>№ з/п</w:t>
            </w:r>
          </w:p>
        </w:tc>
        <w:tc>
          <w:tcPr>
            <w:tcW w:w="990" w:type="pct"/>
            <w:vAlign w:val="center"/>
          </w:tcPr>
          <w:p w:rsidR="00DE60EA" w:rsidRPr="00125FC3" w:rsidRDefault="00DE60EA" w:rsidP="000904AB">
            <w:pPr>
              <w:spacing w:after="0" w:line="240" w:lineRule="auto"/>
              <w:rPr>
                <w:rFonts w:ascii="Times New Roman" w:hAnsi="Times New Roman"/>
                <w:lang w:eastAsia="ru-RU"/>
              </w:rPr>
            </w:pPr>
            <w:r w:rsidRPr="00125FC3">
              <w:rPr>
                <w:rFonts w:ascii="Times New Roman" w:hAnsi="Times New Roman"/>
                <w:lang w:eastAsia="ru-RU"/>
              </w:rPr>
              <w:t>Вид об’єкта</w:t>
            </w:r>
          </w:p>
        </w:tc>
        <w:tc>
          <w:tcPr>
            <w:tcW w:w="1980" w:type="pct"/>
            <w:vAlign w:val="center"/>
          </w:tcPr>
          <w:p w:rsidR="00DE60EA" w:rsidRPr="00125FC3" w:rsidRDefault="00DE60EA" w:rsidP="000904AB">
            <w:pPr>
              <w:spacing w:after="0" w:line="240" w:lineRule="auto"/>
              <w:rPr>
                <w:rFonts w:ascii="Times New Roman" w:hAnsi="Times New Roman"/>
                <w:lang w:eastAsia="ru-RU"/>
              </w:rPr>
            </w:pPr>
            <w:r w:rsidRPr="00125FC3">
              <w:rPr>
                <w:rFonts w:ascii="Times New Roman" w:hAnsi="Times New Roman"/>
                <w:lang w:eastAsia="ru-RU"/>
              </w:rPr>
              <w:t>Адреса об’єкта</w:t>
            </w:r>
          </w:p>
        </w:tc>
        <w:tc>
          <w:tcPr>
            <w:tcW w:w="1747" w:type="pct"/>
            <w:vAlign w:val="center"/>
          </w:tcPr>
          <w:p w:rsidR="00DE60EA" w:rsidRPr="00125FC3" w:rsidRDefault="00DE60EA" w:rsidP="000904AB">
            <w:pPr>
              <w:suppressAutoHyphens/>
              <w:spacing w:after="0" w:line="240" w:lineRule="auto"/>
              <w:rPr>
                <w:rFonts w:ascii="Times New Roman" w:hAnsi="Times New Roman"/>
                <w:lang w:eastAsia="ar-SA"/>
              </w:rPr>
            </w:pPr>
            <w:r w:rsidRPr="00125FC3">
              <w:rPr>
                <w:rFonts w:ascii="Times New Roman" w:hAnsi="Times New Roman"/>
                <w:lang w:eastAsia="ar-SA"/>
              </w:rPr>
              <w:t>ЕІС-код точки (точок) комерційного обліку</w:t>
            </w:r>
          </w:p>
        </w:tc>
      </w:tr>
      <w:tr w:rsidR="00DE60EA" w:rsidRPr="001B5B70" w:rsidTr="00320942">
        <w:tc>
          <w:tcPr>
            <w:tcW w:w="283" w:type="pct"/>
            <w:vAlign w:val="center"/>
          </w:tcPr>
          <w:p w:rsidR="00DE60EA" w:rsidRPr="00125FC3" w:rsidRDefault="00DE60EA" w:rsidP="000904AB">
            <w:pPr>
              <w:spacing w:after="0" w:line="240" w:lineRule="auto"/>
              <w:rPr>
                <w:rFonts w:ascii="Times New Roman" w:hAnsi="Times New Roman"/>
                <w:lang w:eastAsia="ru-RU"/>
              </w:rPr>
            </w:pPr>
            <w:r w:rsidRPr="00125FC3">
              <w:rPr>
                <w:rFonts w:ascii="Times New Roman" w:hAnsi="Times New Roman"/>
                <w:lang w:eastAsia="ru-RU"/>
              </w:rPr>
              <w:t>1</w:t>
            </w:r>
          </w:p>
        </w:tc>
        <w:tc>
          <w:tcPr>
            <w:tcW w:w="990" w:type="pct"/>
            <w:vAlign w:val="center"/>
          </w:tcPr>
          <w:p w:rsidR="00DE60EA" w:rsidRPr="00125FC3" w:rsidRDefault="00DE60EA" w:rsidP="000904AB">
            <w:pPr>
              <w:spacing w:after="0" w:line="240" w:lineRule="auto"/>
              <w:rPr>
                <w:rFonts w:ascii="Times New Roman" w:hAnsi="Times New Roman"/>
                <w:bCs/>
                <w:lang w:eastAsia="ru-RU"/>
              </w:rPr>
            </w:pPr>
            <w:r w:rsidRPr="00125FC3">
              <w:rPr>
                <w:rFonts w:ascii="Times New Roman" w:hAnsi="Times New Roman"/>
                <w:bCs/>
                <w:lang w:eastAsia="ru-RU"/>
              </w:rPr>
              <w:t>поліклініка</w:t>
            </w:r>
          </w:p>
        </w:tc>
        <w:tc>
          <w:tcPr>
            <w:tcW w:w="1980" w:type="pct"/>
          </w:tcPr>
          <w:p w:rsidR="00DE60EA" w:rsidRPr="00125FC3" w:rsidRDefault="00DE60EA" w:rsidP="000904AB">
            <w:pPr>
              <w:shd w:val="clear" w:color="auto" w:fill="FFFFFF"/>
              <w:suppressAutoHyphens/>
              <w:spacing w:after="0" w:line="240" w:lineRule="auto"/>
              <w:rPr>
                <w:rFonts w:ascii="Times New Roman" w:hAnsi="Times New Roman"/>
                <w:lang w:eastAsia="ar-SA"/>
              </w:rPr>
            </w:pPr>
            <w:r w:rsidRPr="00125FC3">
              <w:rPr>
                <w:rFonts w:ascii="Times New Roman" w:hAnsi="Times New Roman"/>
                <w:lang w:eastAsia="ar-SA"/>
              </w:rPr>
              <w:t>м. Харків,</w:t>
            </w:r>
            <w:r w:rsidRPr="00125FC3">
              <w:rPr>
                <w:rFonts w:ascii="Times New Roman" w:hAnsi="Times New Roman"/>
                <w:bCs/>
                <w:lang w:eastAsia="uk-UA"/>
              </w:rPr>
              <w:t xml:space="preserve"> пр. Тракторобудівників, буд. 105А</w:t>
            </w:r>
          </w:p>
        </w:tc>
        <w:tc>
          <w:tcPr>
            <w:tcW w:w="1747" w:type="pct"/>
          </w:tcPr>
          <w:p w:rsidR="00DE60EA" w:rsidRPr="00125FC3" w:rsidRDefault="00DE60EA" w:rsidP="000904AB">
            <w:pPr>
              <w:suppressAutoHyphens/>
              <w:spacing w:after="0" w:line="240" w:lineRule="auto"/>
              <w:rPr>
                <w:rFonts w:ascii="Times New Roman" w:hAnsi="Times New Roman"/>
                <w:lang w:eastAsia="ar-SA"/>
              </w:rPr>
            </w:pPr>
            <w:r w:rsidRPr="00125FC3">
              <w:rPr>
                <w:rFonts w:ascii="Times New Roman" w:hAnsi="Times New Roman"/>
                <w:lang w:val="en-US" w:eastAsia="ar-SA"/>
              </w:rPr>
              <w:t>62Z</w:t>
            </w:r>
            <w:r w:rsidRPr="00125FC3">
              <w:rPr>
                <w:rFonts w:ascii="Times New Roman" w:hAnsi="Times New Roman"/>
                <w:lang w:eastAsia="ar-SA"/>
              </w:rPr>
              <w:t>0843339094870</w:t>
            </w:r>
          </w:p>
        </w:tc>
      </w:tr>
      <w:tr w:rsidR="00DE60EA" w:rsidRPr="001B5B70" w:rsidTr="00320942">
        <w:tc>
          <w:tcPr>
            <w:tcW w:w="283" w:type="pct"/>
            <w:vAlign w:val="center"/>
          </w:tcPr>
          <w:p w:rsidR="00DE60EA" w:rsidRPr="00125FC3" w:rsidRDefault="00DE60EA" w:rsidP="000904AB">
            <w:pPr>
              <w:spacing w:after="0" w:line="240" w:lineRule="auto"/>
              <w:rPr>
                <w:rFonts w:ascii="Times New Roman" w:hAnsi="Times New Roman"/>
                <w:lang w:eastAsia="ru-RU"/>
              </w:rPr>
            </w:pPr>
            <w:r w:rsidRPr="00125FC3">
              <w:rPr>
                <w:rFonts w:ascii="Times New Roman" w:hAnsi="Times New Roman"/>
                <w:lang w:eastAsia="ru-RU"/>
              </w:rPr>
              <w:t>2</w:t>
            </w:r>
          </w:p>
        </w:tc>
        <w:tc>
          <w:tcPr>
            <w:tcW w:w="990" w:type="pct"/>
            <w:vAlign w:val="center"/>
          </w:tcPr>
          <w:p w:rsidR="00DE60EA" w:rsidRPr="00125FC3" w:rsidRDefault="00DE60EA" w:rsidP="000904AB">
            <w:pPr>
              <w:suppressAutoHyphens/>
              <w:spacing w:after="0" w:line="240" w:lineRule="auto"/>
              <w:rPr>
                <w:rFonts w:ascii="Times New Roman" w:hAnsi="Times New Roman"/>
                <w:bCs/>
                <w:lang w:eastAsia="ar-SA"/>
              </w:rPr>
            </w:pPr>
            <w:r w:rsidRPr="00125FC3">
              <w:rPr>
                <w:rFonts w:ascii="Times New Roman" w:hAnsi="Times New Roman"/>
                <w:bCs/>
                <w:lang w:eastAsia="ar-SA"/>
              </w:rPr>
              <w:t>поліклініка</w:t>
            </w:r>
          </w:p>
        </w:tc>
        <w:tc>
          <w:tcPr>
            <w:tcW w:w="1980" w:type="pct"/>
          </w:tcPr>
          <w:p w:rsidR="00DE60EA" w:rsidRPr="00125FC3" w:rsidRDefault="00DE60EA" w:rsidP="000904AB">
            <w:pPr>
              <w:shd w:val="clear" w:color="auto" w:fill="FFFFFF"/>
              <w:suppressAutoHyphens/>
              <w:spacing w:after="0" w:line="240" w:lineRule="auto"/>
              <w:rPr>
                <w:rFonts w:ascii="Times New Roman" w:hAnsi="Times New Roman"/>
                <w:lang w:eastAsia="ar-SA"/>
              </w:rPr>
            </w:pPr>
            <w:r w:rsidRPr="00125FC3">
              <w:rPr>
                <w:rFonts w:ascii="Times New Roman" w:hAnsi="Times New Roman"/>
                <w:lang w:eastAsia="ar-SA"/>
              </w:rPr>
              <w:t>м. Харків,</w:t>
            </w:r>
            <w:r w:rsidRPr="00125FC3">
              <w:rPr>
                <w:rFonts w:ascii="Times New Roman" w:hAnsi="Times New Roman"/>
                <w:bCs/>
                <w:lang w:eastAsia="uk-UA"/>
              </w:rPr>
              <w:t xml:space="preserve"> пр. Тракторобудівників, буд. 105А</w:t>
            </w:r>
          </w:p>
        </w:tc>
        <w:tc>
          <w:tcPr>
            <w:tcW w:w="1747" w:type="pct"/>
          </w:tcPr>
          <w:p w:rsidR="00DE60EA" w:rsidRPr="00125FC3" w:rsidRDefault="00DE60EA" w:rsidP="000904AB">
            <w:pPr>
              <w:suppressAutoHyphens/>
              <w:spacing w:after="0" w:line="240" w:lineRule="auto"/>
              <w:rPr>
                <w:rFonts w:ascii="Times New Roman" w:hAnsi="Times New Roman"/>
                <w:lang w:eastAsia="ar-SA"/>
              </w:rPr>
            </w:pPr>
            <w:r w:rsidRPr="00125FC3">
              <w:rPr>
                <w:rFonts w:ascii="Times New Roman" w:hAnsi="Times New Roman"/>
                <w:lang w:val="en-US" w:eastAsia="ar-SA"/>
              </w:rPr>
              <w:t>62Z</w:t>
            </w:r>
            <w:r w:rsidRPr="00125FC3">
              <w:rPr>
                <w:rFonts w:ascii="Times New Roman" w:hAnsi="Times New Roman"/>
                <w:lang w:eastAsia="ar-SA"/>
              </w:rPr>
              <w:t>4310980065152</w:t>
            </w:r>
          </w:p>
        </w:tc>
      </w:tr>
    </w:tbl>
    <w:p w:rsidR="00DE60EA" w:rsidRPr="00125FC3" w:rsidRDefault="00DE60EA" w:rsidP="000904AB">
      <w:pPr>
        <w:spacing w:after="0" w:line="240" w:lineRule="auto"/>
        <w:ind w:firstLine="709"/>
        <w:rPr>
          <w:rFonts w:ascii="Times New Roman" w:hAnsi="Times New Roman"/>
          <w:b/>
          <w:sz w:val="10"/>
          <w:szCs w:val="10"/>
          <w:lang w:eastAsia="ru-RU"/>
        </w:rPr>
      </w:pPr>
    </w:p>
    <w:p w:rsidR="00DE60EA" w:rsidRPr="00F80104" w:rsidRDefault="00DE60EA" w:rsidP="008F6A66">
      <w:pPr>
        <w:spacing w:line="240" w:lineRule="auto"/>
        <w:jc w:val="both"/>
        <w:rPr>
          <w:rFonts w:ascii="Times New Roman" w:hAnsi="Times New Roman"/>
        </w:rPr>
      </w:pPr>
      <w:r w:rsidRPr="00495020">
        <w:rPr>
          <w:rFonts w:ascii="Times New Roman" w:hAnsi="Times New Roman"/>
          <w:color w:val="242424"/>
          <w:lang w:eastAsia="uk-UA"/>
        </w:rPr>
        <w:br/>
      </w:r>
      <w:r w:rsidRPr="00D531B0">
        <w:rPr>
          <w:rFonts w:ascii="Times New Roman" w:hAnsi="Times New Roman"/>
          <w:b/>
          <w:bCs/>
          <w:lang w:eastAsia="uk-UA"/>
        </w:rPr>
        <w:t>Обґрунтування технічних характеристик. </w:t>
      </w:r>
      <w:r w:rsidRPr="00D531B0">
        <w:rPr>
          <w:rFonts w:ascii="Times New Roman" w:hAnsi="Times New Roman"/>
          <w:lang w:eastAsia="uk-UA"/>
        </w:rPr>
        <w:t xml:space="preserve">Термін постачання </w:t>
      </w:r>
      <w:r w:rsidRPr="004F1D20">
        <w:rPr>
          <w:rFonts w:ascii="Times New Roman" w:hAnsi="Times New Roman"/>
          <w:lang w:eastAsia="uk-UA"/>
        </w:rPr>
        <w:t xml:space="preserve">— </w:t>
      </w:r>
      <w:r w:rsidRPr="004F1D20">
        <w:rPr>
          <w:rFonts w:ascii="Times New Roman" w:hAnsi="Times New Roman"/>
          <w:i/>
          <w:iCs/>
          <w:lang w:eastAsia="uk-UA"/>
        </w:rPr>
        <w:t xml:space="preserve"> з </w:t>
      </w:r>
      <w:r w:rsidRPr="004F1D20">
        <w:t xml:space="preserve"> </w:t>
      </w:r>
      <w:r w:rsidRPr="004F1D20">
        <w:rPr>
          <w:rFonts w:ascii="Times New Roman" w:hAnsi="Times New Roman"/>
          <w:i/>
          <w:iCs/>
        </w:rPr>
        <w:t>дати, зазначеній в заяві-приєднанні</w:t>
      </w:r>
      <w:r w:rsidRPr="004F1D20">
        <w:rPr>
          <w:rFonts w:ascii="Times New Roman" w:hAnsi="Times New Roman"/>
          <w:i/>
          <w:iCs/>
          <w:lang w:eastAsia="uk-UA"/>
        </w:rPr>
        <w:t xml:space="preserve"> </w:t>
      </w:r>
      <w:r w:rsidRPr="004F1D20">
        <w:rPr>
          <w:rFonts w:ascii="Times New Roman" w:hAnsi="Times New Roman"/>
          <w:lang w:eastAsia="uk-UA"/>
        </w:rPr>
        <w:t xml:space="preserve"> до </w:t>
      </w:r>
      <w:r w:rsidRPr="004F1D20">
        <w:rPr>
          <w:rFonts w:ascii="Times New Roman" w:hAnsi="Times New Roman"/>
          <w:u w:val="single"/>
          <w:lang w:eastAsia="uk-UA"/>
        </w:rPr>
        <w:t>31 грудня</w:t>
      </w:r>
      <w:r w:rsidRPr="004F1D20">
        <w:rPr>
          <w:rFonts w:ascii="Times New Roman" w:hAnsi="Times New Roman"/>
          <w:lang w:eastAsia="uk-UA"/>
        </w:rPr>
        <w:t xml:space="preserve">  202</w:t>
      </w:r>
      <w:r w:rsidRPr="004F1D20">
        <w:rPr>
          <w:rFonts w:ascii="Times New Roman" w:hAnsi="Times New Roman"/>
          <w:u w:val="single"/>
          <w:lang w:eastAsia="uk-UA"/>
        </w:rPr>
        <w:t>2</w:t>
      </w:r>
      <w:r w:rsidRPr="004F1D20">
        <w:rPr>
          <w:rFonts w:ascii="Times New Roman" w:hAnsi="Times New Roman"/>
          <w:lang w:eastAsia="uk-UA"/>
        </w:rPr>
        <w:t xml:space="preserve"> р. включно.</w:t>
      </w:r>
      <w:r w:rsidRPr="004F1D20">
        <w:rPr>
          <w:rFonts w:ascii="Times New Roman" w:hAnsi="Times New Roman"/>
          <w:lang w:eastAsia="uk-UA"/>
        </w:rPr>
        <w:b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очікувані обсяги споживання на 2022 рік та  закупівлю обладнання, в тому числі медичного, становить </w:t>
      </w:r>
      <w:r w:rsidRPr="004F1D20">
        <w:rPr>
          <w:rFonts w:ascii="Times New Roman" w:hAnsi="Times New Roman"/>
          <w:u w:val="single"/>
          <w:lang w:eastAsia="uk-UA"/>
        </w:rPr>
        <w:t>250000</w:t>
      </w:r>
      <w:r w:rsidRPr="004F1D20">
        <w:rPr>
          <w:rFonts w:ascii="Times New Roman" w:hAnsi="Times New Roman"/>
          <w:lang w:eastAsia="uk-UA"/>
        </w:rPr>
        <w:t xml:space="preserve"> кВт.*год на 202</w:t>
      </w:r>
      <w:r w:rsidRPr="004F1D20">
        <w:rPr>
          <w:rFonts w:ascii="Times New Roman" w:hAnsi="Times New Roman"/>
          <w:u w:val="single"/>
          <w:lang w:eastAsia="uk-UA"/>
        </w:rPr>
        <w:t>2</w:t>
      </w:r>
      <w:r w:rsidRPr="004F1D20">
        <w:rPr>
          <w:rFonts w:ascii="Times New Roman" w:hAnsi="Times New Roman"/>
          <w:lang w:eastAsia="uk-UA"/>
        </w:rPr>
        <w:t>р.</w:t>
      </w:r>
      <w:r w:rsidRPr="004F1D20">
        <w:rPr>
          <w:rFonts w:ascii="Times New Roman" w:hAnsi="Times New Roman"/>
          <w:lang w:eastAsia="uk-UA"/>
        </w:rPr>
        <w:br/>
      </w:r>
      <w:r w:rsidRPr="004F1D20">
        <w:rPr>
          <w:rFonts w:ascii="Times New Roman" w:hAnsi="Times New Roman"/>
          <w:b/>
          <w:bCs/>
          <w:lang w:eastAsia="uk-UA"/>
        </w:rPr>
        <w:t>Обґрунтування якісних характеристик</w:t>
      </w:r>
      <w:r w:rsidRPr="004F1D20">
        <w:rPr>
          <w:rFonts w:ascii="Times New Roman" w:hAnsi="Times New Roman"/>
          <w:lang w:eastAsia="uk-UA"/>
        </w:rPr>
        <w:t>.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w:t>
      </w:r>
      <w:r w:rsidRPr="00D531B0">
        <w:rPr>
          <w:rFonts w:ascii="Times New Roman" w:hAnsi="Times New Roman"/>
          <w:lang w:eastAsia="uk-UA"/>
        </w:rPr>
        <w:t xml:space="preserve"> розподілу та постачання електричної енергії, а також якість електричної енергії.</w:t>
      </w:r>
      <w:r w:rsidRPr="00D531B0">
        <w:rPr>
          <w:rFonts w:ascii="Times New Roman" w:hAnsi="Times New Roman"/>
          <w:lang w:eastAsia="uk-UA"/>
        </w:rPr>
        <w:b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bookmarkStart w:id="3" w:name="_Hlk86651213"/>
      <w:r w:rsidRPr="00D531B0">
        <w:rPr>
          <w:rFonts w:ascii="Times New Roman" w:hAnsi="Times New Roman"/>
          <w:lang w:eastAsia="uk-UA"/>
        </w:rPr>
        <w:t>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r w:rsidRPr="00D531B0">
        <w:rPr>
          <w:rFonts w:ascii="Times New Roman" w:hAnsi="Times New Roman"/>
          <w:lang w:eastAsia="uk-UA"/>
        </w:rPr>
        <w:b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bookmarkEnd w:id="3"/>
    </w:p>
    <w:sectPr w:rsidR="00DE60EA" w:rsidRPr="00F80104" w:rsidSect="00A835BD">
      <w:pgSz w:w="11906" w:h="16838"/>
      <w:pgMar w:top="397" w:right="39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922F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2C2D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C4FA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02B9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B842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0499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685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78A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2E65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A4D8A"/>
    <w:lvl w:ilvl="0">
      <w:start w:val="1"/>
      <w:numFmt w:val="bullet"/>
      <w:lvlText w:val=""/>
      <w:lvlJc w:val="left"/>
      <w:pPr>
        <w:tabs>
          <w:tab w:val="num" w:pos="360"/>
        </w:tabs>
        <w:ind w:left="360" w:hanging="360"/>
      </w:pPr>
      <w:rPr>
        <w:rFonts w:ascii="Symbol" w:hAnsi="Symbol" w:hint="default"/>
      </w:rPr>
    </w:lvl>
  </w:abstractNum>
  <w:abstractNum w:abstractNumId="10">
    <w:nsid w:val="6B026FEC"/>
    <w:multiLevelType w:val="multilevel"/>
    <w:tmpl w:val="1E2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104"/>
    <w:rsid w:val="0001506D"/>
    <w:rsid w:val="00017F50"/>
    <w:rsid w:val="00062281"/>
    <w:rsid w:val="000854D2"/>
    <w:rsid w:val="000904AB"/>
    <w:rsid w:val="00092F96"/>
    <w:rsid w:val="000D2A5C"/>
    <w:rsid w:val="000E5662"/>
    <w:rsid w:val="000F5720"/>
    <w:rsid w:val="00125FC3"/>
    <w:rsid w:val="00134AE0"/>
    <w:rsid w:val="00145072"/>
    <w:rsid w:val="001708D8"/>
    <w:rsid w:val="00194545"/>
    <w:rsid w:val="001B5B70"/>
    <w:rsid w:val="001D33A3"/>
    <w:rsid w:val="00212CDC"/>
    <w:rsid w:val="00256062"/>
    <w:rsid w:val="00261876"/>
    <w:rsid w:val="002D3CA2"/>
    <w:rsid w:val="002D4A47"/>
    <w:rsid w:val="00320942"/>
    <w:rsid w:val="00375F34"/>
    <w:rsid w:val="003F1B2A"/>
    <w:rsid w:val="00440491"/>
    <w:rsid w:val="0046770B"/>
    <w:rsid w:val="00491748"/>
    <w:rsid w:val="00495020"/>
    <w:rsid w:val="004B5CE3"/>
    <w:rsid w:val="004C6881"/>
    <w:rsid w:val="004C7243"/>
    <w:rsid w:val="004D3F7A"/>
    <w:rsid w:val="004F1D20"/>
    <w:rsid w:val="004F2450"/>
    <w:rsid w:val="005A73C2"/>
    <w:rsid w:val="005F14C4"/>
    <w:rsid w:val="00610A51"/>
    <w:rsid w:val="00610F5D"/>
    <w:rsid w:val="0063423A"/>
    <w:rsid w:val="00646FAC"/>
    <w:rsid w:val="006557CC"/>
    <w:rsid w:val="0066089A"/>
    <w:rsid w:val="00664BA9"/>
    <w:rsid w:val="006671D8"/>
    <w:rsid w:val="00673AF0"/>
    <w:rsid w:val="00677868"/>
    <w:rsid w:val="006966E4"/>
    <w:rsid w:val="006A6D36"/>
    <w:rsid w:val="006E0A83"/>
    <w:rsid w:val="006E7E47"/>
    <w:rsid w:val="007D48FA"/>
    <w:rsid w:val="00826DFF"/>
    <w:rsid w:val="00854D05"/>
    <w:rsid w:val="008558DF"/>
    <w:rsid w:val="0087219F"/>
    <w:rsid w:val="00877E1C"/>
    <w:rsid w:val="0089684C"/>
    <w:rsid w:val="008B5B9A"/>
    <w:rsid w:val="008C13C3"/>
    <w:rsid w:val="008F3700"/>
    <w:rsid w:val="008F6A66"/>
    <w:rsid w:val="00902ED1"/>
    <w:rsid w:val="00922A01"/>
    <w:rsid w:val="00931AF2"/>
    <w:rsid w:val="00951AC2"/>
    <w:rsid w:val="009830B1"/>
    <w:rsid w:val="0099353A"/>
    <w:rsid w:val="009A0DF5"/>
    <w:rsid w:val="009A6D7B"/>
    <w:rsid w:val="00A21626"/>
    <w:rsid w:val="00A32F6F"/>
    <w:rsid w:val="00A62276"/>
    <w:rsid w:val="00A64F47"/>
    <w:rsid w:val="00A70EFE"/>
    <w:rsid w:val="00A835BD"/>
    <w:rsid w:val="00AA44B1"/>
    <w:rsid w:val="00AE6253"/>
    <w:rsid w:val="00B373A4"/>
    <w:rsid w:val="00B44291"/>
    <w:rsid w:val="00BB41E2"/>
    <w:rsid w:val="00BC50F9"/>
    <w:rsid w:val="00BD408A"/>
    <w:rsid w:val="00C95E0C"/>
    <w:rsid w:val="00CB6E6B"/>
    <w:rsid w:val="00CC27EE"/>
    <w:rsid w:val="00CC32D6"/>
    <w:rsid w:val="00D531B0"/>
    <w:rsid w:val="00D6671D"/>
    <w:rsid w:val="00D96FE5"/>
    <w:rsid w:val="00DA4A2F"/>
    <w:rsid w:val="00DE60EA"/>
    <w:rsid w:val="00E1643D"/>
    <w:rsid w:val="00E17A99"/>
    <w:rsid w:val="00EE3141"/>
    <w:rsid w:val="00EE38EE"/>
    <w:rsid w:val="00EE5218"/>
    <w:rsid w:val="00F238E8"/>
    <w:rsid w:val="00F35608"/>
    <w:rsid w:val="00F53462"/>
    <w:rsid w:val="00F62A1A"/>
    <w:rsid w:val="00F801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4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D2A5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0D2A5C"/>
    <w:rPr>
      <w:rFonts w:ascii="Calibri Light" w:hAnsi="Calibri Light" w:cs="Times New Roman"/>
      <w:spacing w:val="-10"/>
      <w:kern w:val="28"/>
      <w:sz w:val="56"/>
      <w:szCs w:val="56"/>
    </w:rPr>
  </w:style>
  <w:style w:type="character" w:styleId="Hyperlink">
    <w:name w:val="Hyperlink"/>
    <w:basedOn w:val="DefaultParagraphFont"/>
    <w:uiPriority w:val="99"/>
    <w:rsid w:val="00491748"/>
    <w:rPr>
      <w:rFonts w:cs="Times New Roman"/>
      <w:color w:val="0000FF"/>
      <w:u w:val="single"/>
    </w:rPr>
  </w:style>
  <w:style w:type="paragraph" w:customStyle="1" w:styleId="rvps2">
    <w:name w:val="rvps2"/>
    <w:basedOn w:val="Normal"/>
    <w:uiPriority w:val="99"/>
    <w:rsid w:val="0049174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01">
    <w:name w:val="fontstyle01"/>
    <w:uiPriority w:val="99"/>
    <w:rsid w:val="00261876"/>
    <w:rPr>
      <w:rFonts w:ascii="TimesNewRomanPSMT" w:eastAsia="TimesNewRomanPSMT"/>
      <w:color w:val="000000"/>
      <w:sz w:val="24"/>
    </w:rPr>
  </w:style>
  <w:style w:type="paragraph" w:customStyle="1" w:styleId="1">
    <w:name w:val="Цитата1"/>
    <w:basedOn w:val="Normal"/>
    <w:uiPriority w:val="99"/>
    <w:rsid w:val="00125FC3"/>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character" w:styleId="Emphasis">
    <w:name w:val="Emphasis"/>
    <w:basedOn w:val="DefaultParagraphFont"/>
    <w:uiPriority w:val="99"/>
    <w:qFormat/>
    <w:locked/>
    <w:rsid w:val="006557CC"/>
    <w:rPr>
      <w:rFonts w:cs="Times New Roman"/>
      <w:i/>
      <w:iCs/>
    </w:rPr>
  </w:style>
</w:styles>
</file>

<file path=word/webSettings.xml><?xml version="1.0" encoding="utf-8"?>
<w:webSettings xmlns:r="http://schemas.openxmlformats.org/officeDocument/2006/relationships" xmlns:w="http://schemas.openxmlformats.org/wordprocessingml/2006/main">
  <w:divs>
    <w:div w:id="1633750436">
      <w:marLeft w:val="0"/>
      <w:marRight w:val="0"/>
      <w:marTop w:val="0"/>
      <w:marBottom w:val="0"/>
      <w:divBdr>
        <w:top w:val="none" w:sz="0" w:space="0" w:color="auto"/>
        <w:left w:val="none" w:sz="0" w:space="0" w:color="auto"/>
        <w:bottom w:val="none" w:sz="0" w:space="0" w:color="auto"/>
        <w:right w:val="none" w:sz="0" w:space="0" w:color="auto"/>
      </w:divBdr>
      <w:divsChild>
        <w:div w:id="1633750432">
          <w:marLeft w:val="0"/>
          <w:marRight w:val="0"/>
          <w:marTop w:val="0"/>
          <w:marBottom w:val="390"/>
          <w:divBdr>
            <w:top w:val="none" w:sz="0" w:space="0" w:color="auto"/>
            <w:left w:val="none" w:sz="0" w:space="0" w:color="auto"/>
            <w:bottom w:val="single" w:sz="6" w:space="20" w:color="E0E0E0"/>
            <w:right w:val="none" w:sz="0" w:space="0" w:color="auto"/>
          </w:divBdr>
          <w:divsChild>
            <w:div w:id="1633750440">
              <w:marLeft w:val="0"/>
              <w:marRight w:val="0"/>
              <w:marTop w:val="0"/>
              <w:marBottom w:val="390"/>
              <w:divBdr>
                <w:top w:val="none" w:sz="0" w:space="0" w:color="auto"/>
                <w:left w:val="none" w:sz="0" w:space="0" w:color="auto"/>
                <w:bottom w:val="none" w:sz="0" w:space="0" w:color="auto"/>
                <w:right w:val="none" w:sz="0" w:space="0" w:color="auto"/>
              </w:divBdr>
              <w:divsChild>
                <w:div w:id="1633750431">
                  <w:marLeft w:val="0"/>
                  <w:marRight w:val="0"/>
                  <w:marTop w:val="0"/>
                  <w:marBottom w:val="0"/>
                  <w:divBdr>
                    <w:top w:val="none" w:sz="0" w:space="0" w:color="auto"/>
                    <w:left w:val="none" w:sz="0" w:space="0" w:color="auto"/>
                    <w:bottom w:val="none" w:sz="0" w:space="0" w:color="auto"/>
                    <w:right w:val="none" w:sz="0" w:space="0" w:color="auto"/>
                  </w:divBdr>
                  <w:divsChild>
                    <w:div w:id="1633750437">
                      <w:marLeft w:val="0"/>
                      <w:marRight w:val="0"/>
                      <w:marTop w:val="0"/>
                      <w:marBottom w:val="0"/>
                      <w:divBdr>
                        <w:top w:val="none" w:sz="0" w:space="0" w:color="auto"/>
                        <w:left w:val="none" w:sz="0" w:space="0" w:color="auto"/>
                        <w:bottom w:val="none" w:sz="0" w:space="0" w:color="auto"/>
                        <w:right w:val="none" w:sz="0" w:space="0" w:color="auto"/>
                      </w:divBdr>
                      <w:divsChild>
                        <w:div w:id="16337504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3750433">
                  <w:marLeft w:val="0"/>
                  <w:marRight w:val="0"/>
                  <w:marTop w:val="0"/>
                  <w:marBottom w:val="0"/>
                  <w:divBdr>
                    <w:top w:val="none" w:sz="0" w:space="0" w:color="auto"/>
                    <w:left w:val="none" w:sz="0" w:space="0" w:color="auto"/>
                    <w:bottom w:val="none" w:sz="0" w:space="0" w:color="auto"/>
                    <w:right w:val="none" w:sz="0" w:space="0" w:color="auto"/>
                  </w:divBdr>
                </w:div>
              </w:divsChild>
            </w:div>
            <w:div w:id="1633750441">
              <w:marLeft w:val="0"/>
              <w:marRight w:val="0"/>
              <w:marTop w:val="0"/>
              <w:marBottom w:val="0"/>
              <w:divBdr>
                <w:top w:val="none" w:sz="0" w:space="0" w:color="auto"/>
                <w:left w:val="none" w:sz="0" w:space="0" w:color="auto"/>
                <w:bottom w:val="none" w:sz="0" w:space="0" w:color="auto"/>
                <w:right w:val="none" w:sz="0" w:space="0" w:color="auto"/>
              </w:divBdr>
              <w:divsChild>
                <w:div w:id="16337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438">
          <w:marLeft w:val="0"/>
          <w:marRight w:val="0"/>
          <w:marTop w:val="0"/>
          <w:marBottom w:val="0"/>
          <w:divBdr>
            <w:top w:val="none" w:sz="0" w:space="0" w:color="auto"/>
            <w:left w:val="none" w:sz="0" w:space="0" w:color="auto"/>
            <w:bottom w:val="none" w:sz="0" w:space="0" w:color="auto"/>
            <w:right w:val="none" w:sz="0" w:space="0" w:color="auto"/>
          </w:divBdr>
          <w:divsChild>
            <w:div w:id="1633750435">
              <w:marLeft w:val="0"/>
              <w:marRight w:val="0"/>
              <w:marTop w:val="0"/>
              <w:marBottom w:val="450"/>
              <w:divBdr>
                <w:top w:val="dashed" w:sz="12" w:space="23" w:color="BFBFBF"/>
                <w:left w:val="dashed" w:sz="12" w:space="23" w:color="BFBFBF"/>
                <w:bottom w:val="dashed" w:sz="12" w:space="23" w:color="BFBFBF"/>
                <w:right w:val="dashed" w:sz="12" w:space="23" w:color="BFBFB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d=16075" TargetMode="External"/><Relationship Id="rId3" Type="http://schemas.openxmlformats.org/officeDocument/2006/relationships/settings" Target="settings.xml"/><Relationship Id="rId7" Type="http://schemas.openxmlformats.org/officeDocument/2006/relationships/hyperlink" Target="https://www.nerc.gov.ua/?id=159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c.gov.ua/?id=15950"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2</Pages>
  <Words>1666</Words>
  <Characters>9497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Economist1</cp:lastModifiedBy>
  <cp:revision>54</cp:revision>
  <dcterms:created xsi:type="dcterms:W3CDTF">2021-10-26T08:35:00Z</dcterms:created>
  <dcterms:modified xsi:type="dcterms:W3CDTF">2021-11-22T12:48:00Z</dcterms:modified>
</cp:coreProperties>
</file>